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887" w:rsidRPr="00927887" w:rsidRDefault="00927887" w:rsidP="00927887">
      <w:pPr>
        <w:rPr>
          <w:rFonts w:cstheme="minorHAnsi"/>
          <w:b/>
          <w:bCs/>
        </w:rPr>
      </w:pPr>
      <w:r w:rsidRPr="00927887">
        <w:rPr>
          <w:rFonts w:cstheme="minorHAnsi"/>
          <w:b/>
          <w:bCs/>
        </w:rPr>
        <w:t>Цель</w:t>
      </w:r>
    </w:p>
    <w:p w:rsidR="00927887" w:rsidRPr="00927887" w:rsidRDefault="00927887" w:rsidP="00927887">
      <w:pPr>
        <w:rPr>
          <w:rFonts w:cstheme="minorHAnsi"/>
          <w:sz w:val="20"/>
          <w:szCs w:val="20"/>
        </w:rPr>
      </w:pPr>
      <w:r w:rsidRPr="00927887">
        <w:rPr>
          <w:rFonts w:cstheme="minorHAnsi"/>
          <w:sz w:val="20"/>
          <w:szCs w:val="20"/>
        </w:rPr>
        <w:t>Изучить изменение спектральных характеристик вариабельности ритма сердца под влиянием антиаритмиков I класса этмозина и этацизина у крыс.</w:t>
      </w:r>
    </w:p>
    <w:p w:rsidR="00927887" w:rsidRPr="00927887" w:rsidRDefault="00927887" w:rsidP="00927887">
      <w:pPr>
        <w:rPr>
          <w:rFonts w:cstheme="minorHAnsi"/>
          <w:b/>
          <w:bCs/>
        </w:rPr>
      </w:pPr>
      <w:r w:rsidRPr="00927887">
        <w:rPr>
          <w:rFonts w:cstheme="minorHAnsi"/>
          <w:b/>
          <w:bCs/>
        </w:rPr>
        <w:t>Материалы и методы</w:t>
      </w:r>
    </w:p>
    <w:p w:rsidR="00927887" w:rsidRPr="00927887" w:rsidRDefault="00927887" w:rsidP="00927887">
      <w:pPr>
        <w:rPr>
          <w:rFonts w:cstheme="minorHAnsi"/>
          <w:sz w:val="20"/>
          <w:szCs w:val="20"/>
        </w:rPr>
      </w:pPr>
      <w:r w:rsidRPr="00927887">
        <w:rPr>
          <w:rFonts w:cstheme="minorHAnsi"/>
          <w:sz w:val="20"/>
          <w:szCs w:val="20"/>
        </w:rPr>
        <w:t>Использовали метод спектрального анализа вариабельности ритма сердца с помощью компьютерного комплекса «Астрокард» (Россия).</w:t>
      </w:r>
    </w:p>
    <w:p w:rsidR="00927887" w:rsidRPr="00927887" w:rsidRDefault="00927887" w:rsidP="00927887">
      <w:pPr>
        <w:rPr>
          <w:rFonts w:cstheme="minorHAnsi"/>
          <w:b/>
          <w:bCs/>
        </w:rPr>
      </w:pPr>
      <w:r w:rsidRPr="00927887">
        <w:rPr>
          <w:rFonts w:cstheme="minorHAnsi"/>
          <w:b/>
          <w:bCs/>
        </w:rPr>
        <w:t>Результаты</w:t>
      </w:r>
    </w:p>
    <w:p w:rsidR="00927887" w:rsidRPr="00927887" w:rsidRDefault="00927887" w:rsidP="00927887">
      <w:pPr>
        <w:rPr>
          <w:rFonts w:cstheme="minorHAnsi"/>
          <w:sz w:val="20"/>
          <w:szCs w:val="20"/>
        </w:rPr>
      </w:pPr>
      <w:r w:rsidRPr="00927887">
        <w:rPr>
          <w:rFonts w:cstheme="minorHAnsi"/>
          <w:sz w:val="20"/>
          <w:szCs w:val="20"/>
        </w:rPr>
        <w:t xml:space="preserve">Установлено, что на фоне этмозина снижается доля очень медленных частот </w:t>
      </w:r>
      <w:r w:rsidRPr="00927887">
        <w:rPr>
          <w:rFonts w:cstheme="minorHAnsi"/>
          <w:sz w:val="20"/>
          <w:szCs w:val="20"/>
          <w:lang w:val="en-US"/>
        </w:rPr>
        <w:t>VLF</w:t>
      </w:r>
      <w:r w:rsidRPr="00927887">
        <w:rPr>
          <w:rFonts w:cstheme="minorHAnsi"/>
          <w:sz w:val="20"/>
          <w:szCs w:val="20"/>
        </w:rPr>
        <w:t xml:space="preserve"> и возрастают доли медленных </w:t>
      </w:r>
      <w:r w:rsidRPr="00927887">
        <w:rPr>
          <w:rFonts w:cstheme="minorHAnsi"/>
          <w:sz w:val="20"/>
          <w:szCs w:val="20"/>
          <w:lang w:val="en-US"/>
        </w:rPr>
        <w:t>LF</w:t>
      </w:r>
      <w:r w:rsidRPr="00927887">
        <w:rPr>
          <w:rFonts w:cstheme="minorHAnsi"/>
          <w:sz w:val="20"/>
          <w:szCs w:val="20"/>
        </w:rPr>
        <w:t xml:space="preserve"> и быстрых </w:t>
      </w:r>
      <w:r w:rsidRPr="00927887">
        <w:rPr>
          <w:rFonts w:cstheme="minorHAnsi"/>
          <w:sz w:val="20"/>
          <w:szCs w:val="20"/>
          <w:lang w:val="en-US"/>
        </w:rPr>
        <w:t>HF</w:t>
      </w:r>
      <w:r w:rsidRPr="00927887">
        <w:rPr>
          <w:rFonts w:cstheme="minorHAnsi"/>
          <w:sz w:val="20"/>
          <w:szCs w:val="20"/>
        </w:rPr>
        <w:t xml:space="preserve"> частот на 33 % и 37 % соответственно. Этацизин вызывает снижение общей мощности спектра на 81 % и, как следствие, уменьшение мощностей всех отделов спектра: очень медленных </w:t>
      </w:r>
      <w:r w:rsidRPr="00927887">
        <w:rPr>
          <w:rFonts w:cstheme="minorHAnsi"/>
          <w:sz w:val="20"/>
          <w:szCs w:val="20"/>
          <w:lang w:val="en-US"/>
        </w:rPr>
        <w:t>VLF</w:t>
      </w:r>
      <w:r w:rsidRPr="00927887">
        <w:rPr>
          <w:rFonts w:cstheme="minorHAnsi"/>
          <w:sz w:val="20"/>
          <w:szCs w:val="20"/>
        </w:rPr>
        <w:t xml:space="preserve">, медленных </w:t>
      </w:r>
      <w:r w:rsidRPr="00927887">
        <w:rPr>
          <w:rFonts w:cstheme="minorHAnsi"/>
          <w:sz w:val="20"/>
          <w:szCs w:val="20"/>
          <w:lang w:val="en-US"/>
        </w:rPr>
        <w:t>LF</w:t>
      </w:r>
      <w:r w:rsidRPr="00927887">
        <w:rPr>
          <w:rFonts w:cstheme="minorHAnsi"/>
          <w:sz w:val="20"/>
          <w:szCs w:val="20"/>
        </w:rPr>
        <w:t xml:space="preserve"> и быстрых </w:t>
      </w:r>
      <w:r w:rsidRPr="00927887">
        <w:rPr>
          <w:rFonts w:cstheme="minorHAnsi"/>
          <w:sz w:val="20"/>
          <w:szCs w:val="20"/>
          <w:lang w:val="en-US"/>
        </w:rPr>
        <w:t>HF</w:t>
      </w:r>
      <w:r w:rsidRPr="00927887">
        <w:rPr>
          <w:rFonts w:cstheme="minorHAnsi"/>
          <w:sz w:val="20"/>
          <w:szCs w:val="20"/>
        </w:rPr>
        <w:t xml:space="preserve"> на 83 %, 73 % и 87 % соответственно. При анализе структуры спектра наблюдается уменьшение доли колебаний, соответствующих области высоких частот (</w:t>
      </w:r>
      <w:r w:rsidRPr="00927887">
        <w:rPr>
          <w:rFonts w:cstheme="minorHAnsi"/>
          <w:sz w:val="20"/>
          <w:szCs w:val="20"/>
          <w:lang w:val="en-US"/>
        </w:rPr>
        <w:t>HF</w:t>
      </w:r>
      <w:r w:rsidRPr="00927887">
        <w:rPr>
          <w:rFonts w:cstheme="minorHAnsi"/>
          <w:sz w:val="20"/>
          <w:szCs w:val="20"/>
        </w:rPr>
        <w:t>) на 39 % и увеличение низких частот (</w:t>
      </w:r>
      <w:r w:rsidRPr="00927887">
        <w:rPr>
          <w:rFonts w:cstheme="minorHAnsi"/>
          <w:sz w:val="20"/>
          <w:szCs w:val="20"/>
          <w:lang w:val="en-US"/>
        </w:rPr>
        <w:t>LF</w:t>
      </w:r>
      <w:r w:rsidRPr="00927887">
        <w:rPr>
          <w:rFonts w:cstheme="minorHAnsi"/>
          <w:sz w:val="20"/>
          <w:szCs w:val="20"/>
        </w:rPr>
        <w:t>) на 17 %.</w:t>
      </w:r>
    </w:p>
    <w:p w:rsidR="00927887" w:rsidRPr="00927887" w:rsidRDefault="00927887" w:rsidP="00927887">
      <w:pPr>
        <w:rPr>
          <w:rFonts w:cstheme="minorHAnsi"/>
          <w:b/>
          <w:bCs/>
        </w:rPr>
      </w:pPr>
      <w:r w:rsidRPr="00927887">
        <w:rPr>
          <w:rFonts w:cstheme="minorHAnsi"/>
          <w:b/>
          <w:bCs/>
        </w:rPr>
        <w:t>Выводы</w:t>
      </w:r>
    </w:p>
    <w:p w:rsidR="00927887" w:rsidRPr="00927887" w:rsidRDefault="00927887" w:rsidP="00927887">
      <w:pPr>
        <w:rPr>
          <w:rFonts w:cstheme="minorHAnsi"/>
          <w:sz w:val="20"/>
          <w:szCs w:val="20"/>
        </w:rPr>
      </w:pPr>
      <w:r w:rsidRPr="00927887">
        <w:rPr>
          <w:rFonts w:cstheme="minorHAnsi"/>
          <w:sz w:val="20"/>
          <w:szCs w:val="20"/>
        </w:rPr>
        <w:t>Этмозин вызывает увеличение роли вегетативной нервной системы в регуляции сердечного ритма по сравнению с гуморальными, при этом соотношение симпатических и парасимпатических влияний не изменяется. Этацизин вызывает снижение вариабельности сердечного ритма у экспериментальных животных, тогда как этмозин не изменяет вариабельность сердечного ритма. На фоне этацизина наблюдается увеличение симпатической активности на миокард.</w:t>
      </w:r>
    </w:p>
    <w:p w:rsidR="00927887" w:rsidRPr="00927887" w:rsidRDefault="00927887" w:rsidP="00927887">
      <w:pPr>
        <w:rPr>
          <w:rFonts w:cstheme="minorHAnsi"/>
          <w:b/>
          <w:bCs/>
        </w:rPr>
      </w:pPr>
      <w:bookmarkStart w:id="0" w:name="_GoBack"/>
      <w:r w:rsidRPr="00927887">
        <w:rPr>
          <w:rFonts w:cstheme="minorHAnsi"/>
          <w:b/>
          <w:bCs/>
        </w:rPr>
        <w:t>Ключевые слова</w:t>
      </w:r>
    </w:p>
    <w:bookmarkEnd w:id="0"/>
    <w:p w:rsidR="00927887" w:rsidRPr="00927887" w:rsidRDefault="00927887" w:rsidP="00927887">
      <w:pPr>
        <w:rPr>
          <w:rFonts w:cstheme="minorHAnsi"/>
          <w:sz w:val="20"/>
          <w:szCs w:val="20"/>
        </w:rPr>
      </w:pPr>
      <w:r w:rsidRPr="00927887">
        <w:rPr>
          <w:rFonts w:cstheme="minorHAnsi"/>
          <w:sz w:val="20"/>
          <w:szCs w:val="20"/>
        </w:rPr>
        <w:t xml:space="preserve">Вариабельность сердечного ритма, антиаритмические препараты </w:t>
      </w:r>
      <w:r w:rsidRPr="00927887">
        <w:rPr>
          <w:rFonts w:cstheme="minorHAnsi"/>
          <w:sz w:val="20"/>
          <w:szCs w:val="20"/>
          <w:lang w:val="en-US"/>
        </w:rPr>
        <w:t>I</w:t>
      </w:r>
      <w:r w:rsidRPr="00927887">
        <w:rPr>
          <w:rFonts w:cstheme="minorHAnsi"/>
          <w:sz w:val="20"/>
          <w:szCs w:val="20"/>
        </w:rPr>
        <w:t> класса, этмозин, этацизин</w:t>
      </w:r>
    </w:p>
    <w:p w:rsidR="00726DBA" w:rsidRPr="00927887" w:rsidRDefault="00726DBA" w:rsidP="00927887">
      <w:pPr>
        <w:rPr>
          <w:rFonts w:cstheme="minorHAnsi"/>
        </w:rPr>
      </w:pPr>
    </w:p>
    <w:sectPr w:rsidR="00726DBA" w:rsidRPr="00927887" w:rsidSect="00815A3A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Bold">
    <w:panose1 w:val="020B08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DINPro-MediumItalic">
    <w:panose1 w:val="020B06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32"/>
    <w:rsid w:val="00166EF2"/>
    <w:rsid w:val="006315EB"/>
    <w:rsid w:val="00726DBA"/>
    <w:rsid w:val="00927887"/>
    <w:rsid w:val="00DC2732"/>
    <w:rsid w:val="00E4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0B1303"/>
  <w15:chartTrackingRefBased/>
  <w15:docId w15:val="{D2497F9C-DEF5-4778-8A6B-E3709A9D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Head">
    <w:name w:val="Lead Head (СТАРТ)"/>
    <w:basedOn w:val="a"/>
    <w:next w:val="LeadText"/>
    <w:uiPriority w:val="99"/>
    <w:rsid w:val="00DC2732"/>
    <w:pPr>
      <w:keepNext/>
      <w:shd w:val="clear" w:color="auto" w:fill="000000"/>
      <w:suppressAutoHyphens/>
      <w:autoSpaceDE w:val="0"/>
      <w:autoSpaceDN w:val="0"/>
      <w:adjustRightInd w:val="0"/>
      <w:spacing w:before="113" w:after="0" w:line="280" w:lineRule="atLeast"/>
      <w:ind w:left="113" w:right="113"/>
      <w:textAlignment w:val="center"/>
    </w:pPr>
    <w:rPr>
      <w:rFonts w:ascii="DINPro-Bold" w:hAnsi="DINPro-Bold" w:cs="DINPro-Bold"/>
      <w:b/>
      <w:bCs/>
      <w:color w:val="000000"/>
      <w:spacing w:val="2"/>
      <w:sz w:val="24"/>
      <w:szCs w:val="24"/>
    </w:rPr>
  </w:style>
  <w:style w:type="paragraph" w:customStyle="1" w:styleId="LeadText">
    <w:name w:val="LeadText (СТАРТ)"/>
    <w:basedOn w:val="a"/>
    <w:next w:val="LeadHead"/>
    <w:uiPriority w:val="99"/>
    <w:rsid w:val="00DC2732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MediumItalic" w:hAnsi="DINPro-MediumItalic" w:cs="DINPro-MediumItalic"/>
      <w:i/>
      <w:iCs/>
      <w:color w:val="000000"/>
      <w:sz w:val="20"/>
      <w:szCs w:val="20"/>
    </w:rPr>
  </w:style>
  <w:style w:type="character" w:customStyle="1" w:styleId="Bold">
    <w:name w:val="Bold"/>
    <w:uiPriority w:val="99"/>
    <w:rsid w:val="00DC2732"/>
    <w:rPr>
      <w:b/>
      <w:bCs/>
      <w:u w:val="none"/>
      <w:vertAlign w:val="baseline"/>
    </w:rPr>
  </w:style>
  <w:style w:type="paragraph" w:styleId="a3">
    <w:name w:val="No Spacing"/>
    <w:uiPriority w:val="1"/>
    <w:qFormat/>
    <w:rsid w:val="00166EF2"/>
    <w:pPr>
      <w:spacing w:after="0" w:line="240" w:lineRule="auto"/>
    </w:pPr>
  </w:style>
  <w:style w:type="character" w:customStyle="1" w:styleId="Symbol">
    <w:name w:val="Symbol"/>
    <w:uiPriority w:val="99"/>
    <w:rsid w:val="006315EB"/>
    <w:rPr>
      <w:rFonts w:ascii="Symbol" w:hAnsi="Symbol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2020-02-17T18:00:00Z</dcterms:created>
  <dcterms:modified xsi:type="dcterms:W3CDTF">2020-02-17T18:00:00Z</dcterms:modified>
</cp:coreProperties>
</file>